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52" w:type="dxa"/>
        <w:tblInd w:w="5778" w:type="dxa"/>
        <w:tblLook w:val="04A0" w:firstRow="1" w:lastRow="0" w:firstColumn="1" w:lastColumn="0" w:noHBand="0" w:noVBand="1"/>
      </w:tblPr>
      <w:tblGrid>
        <w:gridCol w:w="5352"/>
      </w:tblGrid>
      <w:tr w:rsidR="009354C5" w14:paraId="3505A62B" w14:textId="77777777">
        <w:tc>
          <w:tcPr>
            <w:tcW w:w="5352" w:type="dxa"/>
          </w:tcPr>
          <w:p w14:paraId="3071F1F8" w14:textId="77777777" w:rsidR="009354C5" w:rsidRDefault="00875907">
            <w:pPr>
              <w:jc w:val="center"/>
            </w:pPr>
            <w:r>
              <w:t xml:space="preserve">  Утверждаю</w:t>
            </w:r>
          </w:p>
          <w:p w14:paraId="1E5C7882" w14:textId="77777777" w:rsidR="009354C5" w:rsidRDefault="00875907">
            <w:pPr>
              <w:spacing w:line="276" w:lineRule="auto"/>
              <w:ind w:left="176" w:firstLine="0"/>
              <w:jc w:val="center"/>
            </w:pPr>
            <w:r>
              <w:t xml:space="preserve">Председатель совета </w:t>
            </w:r>
          </w:p>
          <w:p w14:paraId="5C87DCA8" w14:textId="77777777" w:rsidR="009354C5" w:rsidRDefault="00875907">
            <w:pPr>
              <w:spacing w:line="276" w:lineRule="auto"/>
              <w:ind w:left="176" w:firstLine="0"/>
              <w:jc w:val="center"/>
            </w:pPr>
            <w:r>
              <w:t>ЧООООО «ВДПО»</w:t>
            </w:r>
          </w:p>
          <w:p w14:paraId="6328F32B" w14:textId="77777777" w:rsidR="009354C5" w:rsidRDefault="00875907">
            <w:pPr>
              <w:spacing w:line="276" w:lineRule="auto"/>
              <w:ind w:firstLine="0"/>
            </w:pPr>
            <w:r>
              <w:t xml:space="preserve">   __________С.Ю. Шуляков</w:t>
            </w:r>
          </w:p>
        </w:tc>
      </w:tr>
    </w:tbl>
    <w:p w14:paraId="34C48887" w14:textId="77777777" w:rsidR="009354C5" w:rsidRDefault="00875907">
      <w:pPr>
        <w:ind w:left="4955"/>
        <w:jc w:val="center"/>
      </w:pPr>
      <w:r>
        <w:t>«_</w:t>
      </w:r>
      <w:proofErr w:type="gramStart"/>
      <w:r>
        <w:t>_»_</w:t>
      </w:r>
      <w:proofErr w:type="gramEnd"/>
      <w:r>
        <w:t>__________20____г.</w:t>
      </w:r>
    </w:p>
    <w:p w14:paraId="72B672C4" w14:textId="77777777" w:rsidR="009354C5" w:rsidRDefault="009354C5">
      <w:pPr>
        <w:jc w:val="center"/>
        <w:rPr>
          <w:b/>
        </w:rPr>
      </w:pPr>
    </w:p>
    <w:p w14:paraId="5C5DAD3B" w14:textId="77777777" w:rsidR="009354C5" w:rsidRDefault="009354C5">
      <w:pPr>
        <w:jc w:val="center"/>
        <w:rPr>
          <w:b/>
        </w:rPr>
      </w:pPr>
    </w:p>
    <w:p w14:paraId="10CB9D28" w14:textId="77777777" w:rsidR="009354C5" w:rsidRDefault="00875907">
      <w:pPr>
        <w:ind w:firstLine="0"/>
        <w:jc w:val="center"/>
      </w:pPr>
      <w:r>
        <w:rPr>
          <w:b/>
        </w:rPr>
        <w:t>План - конспект</w:t>
      </w:r>
    </w:p>
    <w:p w14:paraId="60440848" w14:textId="4F66E1A4" w:rsidR="009354C5" w:rsidRDefault="00875907" w:rsidP="00875907">
      <w:pPr>
        <w:ind w:firstLine="0"/>
        <w:jc w:val="center"/>
      </w:pPr>
      <w:r>
        <w:rPr>
          <w:b/>
        </w:rPr>
        <w:t xml:space="preserve">проведения занятий по </w:t>
      </w:r>
      <w:r>
        <w:rPr>
          <w:b/>
        </w:rPr>
        <w:t>программе повышения квалификации «</w:t>
      </w:r>
      <w:r>
        <w:rPr>
          <w:b/>
        </w:rPr>
        <w:t>О</w:t>
      </w:r>
      <w:r>
        <w:rPr>
          <w:b/>
        </w:rPr>
        <w:t xml:space="preserve">тветственный за пожарную безопасность» </w:t>
      </w:r>
      <w:bookmarkStart w:id="0" w:name="_GoBack"/>
      <w:bookmarkEnd w:id="0"/>
    </w:p>
    <w:p w14:paraId="2CFE9224" w14:textId="77777777" w:rsidR="009354C5" w:rsidRDefault="009354C5">
      <w:pPr>
        <w:ind w:firstLine="0"/>
        <w:jc w:val="center"/>
      </w:pPr>
    </w:p>
    <w:p w14:paraId="3D393CB4" w14:textId="77777777" w:rsidR="009354C5" w:rsidRDefault="00875907">
      <w:pPr>
        <w:ind w:firstLine="0"/>
        <w:jc w:val="both"/>
      </w:pPr>
      <w:r>
        <w:rPr>
          <w:b/>
          <w:bCs/>
        </w:rPr>
        <w:t>Тема 2.2.</w:t>
      </w:r>
      <w:r>
        <w:rPr>
          <w:b/>
          <w:bCs/>
        </w:rPr>
        <w:t>1:</w:t>
      </w:r>
      <w:r>
        <w:t xml:space="preserve"> Система обеспечения пожарной безопасности объекта защиты</w:t>
      </w:r>
    </w:p>
    <w:p w14:paraId="57DAA61F" w14:textId="77777777" w:rsidR="009354C5" w:rsidRDefault="009354C5">
      <w:pPr>
        <w:ind w:firstLine="0"/>
      </w:pPr>
    </w:p>
    <w:p w14:paraId="7A23E034" w14:textId="77777777" w:rsidR="009354C5" w:rsidRDefault="00875907">
      <w:pPr>
        <w:ind w:firstLine="0"/>
      </w:pPr>
      <w:r>
        <w:rPr>
          <w:b/>
          <w:bCs/>
        </w:rPr>
        <w:t xml:space="preserve">Вид занятия: </w:t>
      </w:r>
      <w:r>
        <w:t>классно-групповое.</w:t>
      </w:r>
    </w:p>
    <w:p w14:paraId="4D5D2F23" w14:textId="77777777" w:rsidR="009354C5" w:rsidRDefault="00875907">
      <w:pPr>
        <w:ind w:firstLine="0"/>
      </w:pPr>
      <w:r>
        <w:rPr>
          <w:b/>
          <w:bCs/>
        </w:rPr>
        <w:t>Отводимое время:</w:t>
      </w:r>
      <w:r>
        <w:t xml:space="preserve"> 180 мин.</w:t>
      </w:r>
    </w:p>
    <w:p w14:paraId="0AE6427C" w14:textId="77777777" w:rsidR="009354C5" w:rsidRDefault="009354C5">
      <w:pPr>
        <w:pStyle w:val="20"/>
        <w:shd w:val="clear" w:color="auto" w:fill="auto"/>
        <w:spacing w:after="0"/>
        <w:jc w:val="both"/>
      </w:pPr>
    </w:p>
    <w:p w14:paraId="3E9150AF" w14:textId="77777777" w:rsidR="009354C5" w:rsidRDefault="00875907">
      <w:pPr>
        <w:ind w:right="24" w:firstLine="0"/>
        <w:jc w:val="both"/>
      </w:pPr>
      <w:r>
        <w:rPr>
          <w:b/>
          <w:bCs/>
        </w:rPr>
        <w:t xml:space="preserve">Цель занятия: </w:t>
      </w:r>
      <w:r>
        <w:t>изучить предложенную тему</w:t>
      </w:r>
    </w:p>
    <w:p w14:paraId="67D127E8" w14:textId="77777777" w:rsidR="009354C5" w:rsidRDefault="009354C5">
      <w:pPr>
        <w:pStyle w:val="20"/>
        <w:shd w:val="clear" w:color="auto" w:fill="auto"/>
        <w:spacing w:after="0"/>
        <w:jc w:val="both"/>
      </w:pPr>
    </w:p>
    <w:p w14:paraId="5DF4E36B" w14:textId="77777777" w:rsidR="009354C5" w:rsidRDefault="00875907">
      <w:pPr>
        <w:ind w:firstLine="0"/>
        <w:rPr>
          <w:b/>
          <w:bCs/>
        </w:rPr>
      </w:pPr>
      <w:r>
        <w:rPr>
          <w:b/>
          <w:bCs/>
        </w:rPr>
        <w:t>Литература, используемая при проведении занятия:</w:t>
      </w:r>
      <w:r>
        <w:rPr>
          <w:b/>
          <w:bCs/>
          <w:highlight w:val="yellow"/>
        </w:rPr>
        <w:t xml:space="preserve"> </w:t>
      </w:r>
    </w:p>
    <w:p w14:paraId="16C56E8B" w14:textId="77777777" w:rsidR="009354C5" w:rsidRDefault="00875907">
      <w:pPr>
        <w:ind w:firstLine="0"/>
        <w:jc w:val="both"/>
      </w:pPr>
      <w:r>
        <w:t>-Федеральный закон от 22.07.2008 № 123-ФЗ «Технический регламент о требованиях пожарной безопасности»;</w:t>
      </w:r>
    </w:p>
    <w:p w14:paraId="2F2E88D6" w14:textId="77777777" w:rsidR="009354C5" w:rsidRDefault="00875907">
      <w:pPr>
        <w:ind w:firstLine="0"/>
        <w:jc w:val="both"/>
      </w:pPr>
      <w:r>
        <w:t>-Федеральный закон от 2</w:t>
      </w:r>
      <w:r>
        <w:t>7</w:t>
      </w:r>
      <w:r>
        <w:t>.</w:t>
      </w:r>
      <w:r>
        <w:t>12</w:t>
      </w:r>
      <w:r>
        <w:t>.200</w:t>
      </w:r>
      <w:r>
        <w:t>2</w:t>
      </w:r>
      <w:r>
        <w:t xml:space="preserve"> № 1</w:t>
      </w:r>
      <w:r>
        <w:t>84</w:t>
      </w:r>
      <w:r>
        <w:t>-ФЗ «</w:t>
      </w:r>
      <w:r>
        <w:t>О техническом регул</w:t>
      </w:r>
      <w:r>
        <w:t>ировании</w:t>
      </w:r>
      <w:r>
        <w:t>».</w:t>
      </w:r>
    </w:p>
    <w:p w14:paraId="27445861" w14:textId="77777777" w:rsidR="009354C5" w:rsidRDefault="009354C5">
      <w:pPr>
        <w:ind w:firstLine="0"/>
        <w:jc w:val="both"/>
        <w:rPr>
          <w:strike/>
        </w:rPr>
      </w:pPr>
    </w:p>
    <w:p w14:paraId="03FF4487" w14:textId="77777777" w:rsidR="009354C5" w:rsidRDefault="009354C5">
      <w:pPr>
        <w:ind w:firstLine="0"/>
      </w:pPr>
    </w:p>
    <w:p w14:paraId="72F4A6DD" w14:textId="77777777" w:rsidR="009354C5" w:rsidRDefault="00875907">
      <w:pPr>
        <w:ind w:firstLine="0"/>
        <w:rPr>
          <w:b/>
          <w:bCs/>
        </w:rPr>
      </w:pPr>
      <w:r>
        <w:rPr>
          <w:b/>
          <w:bCs/>
        </w:rPr>
        <w:t>Содержание темы:</w:t>
      </w:r>
    </w:p>
    <w:p w14:paraId="2EB2527D" w14:textId="77777777" w:rsidR="009354C5" w:rsidRDefault="00875907">
      <w:pPr>
        <w:ind w:firstLine="0"/>
        <w:jc w:val="both"/>
      </w:pPr>
      <w:r>
        <w:t>Обеспечение пожарной безопасности объекта защиты. Оценка соответствия объекта защиты требованиям пожарной безопасности. Формы оценки соответствия объектов защиты (продукции) требованиям пожарной безопасности. Условия соответст</w:t>
      </w:r>
      <w:r>
        <w:t>вия объекта защиты требованиям пожарной безопасности.</w:t>
      </w:r>
    </w:p>
    <w:p w14:paraId="0A1355F6" w14:textId="77777777" w:rsidR="009354C5" w:rsidRDefault="009354C5">
      <w:pPr>
        <w:ind w:firstLine="0"/>
      </w:pPr>
    </w:p>
    <w:p w14:paraId="22D57BF6" w14:textId="77777777" w:rsidR="009354C5" w:rsidRDefault="009354C5">
      <w:pPr>
        <w:ind w:firstLine="0"/>
      </w:pPr>
    </w:p>
    <w:p w14:paraId="73014BAE" w14:textId="77777777" w:rsidR="009354C5" w:rsidRDefault="009354C5">
      <w:pPr>
        <w:ind w:firstLine="0"/>
      </w:pPr>
    </w:p>
    <w:p w14:paraId="13C13EB6" w14:textId="77777777" w:rsidR="009354C5" w:rsidRDefault="009354C5">
      <w:pPr>
        <w:ind w:firstLine="0"/>
      </w:pPr>
    </w:p>
    <w:p w14:paraId="778F8030" w14:textId="77777777" w:rsidR="009354C5" w:rsidRDefault="009354C5">
      <w:pPr>
        <w:ind w:firstLine="0"/>
      </w:pPr>
    </w:p>
    <w:p w14:paraId="5735BADB" w14:textId="77777777" w:rsidR="009354C5" w:rsidRDefault="009354C5">
      <w:pPr>
        <w:ind w:firstLine="0"/>
      </w:pPr>
    </w:p>
    <w:p w14:paraId="434E427E" w14:textId="77777777" w:rsidR="009354C5" w:rsidRDefault="009354C5">
      <w:pPr>
        <w:ind w:firstLine="0"/>
      </w:pPr>
    </w:p>
    <w:p w14:paraId="2C59BAEF" w14:textId="77777777" w:rsidR="009354C5" w:rsidRDefault="009354C5">
      <w:pPr>
        <w:ind w:firstLine="0"/>
      </w:pPr>
    </w:p>
    <w:p w14:paraId="09653087" w14:textId="77777777" w:rsidR="009354C5" w:rsidRDefault="009354C5">
      <w:pPr>
        <w:ind w:firstLine="0"/>
      </w:pPr>
    </w:p>
    <w:p w14:paraId="0A036C62" w14:textId="77777777" w:rsidR="009354C5" w:rsidRDefault="009354C5">
      <w:pPr>
        <w:ind w:firstLine="0"/>
      </w:pPr>
    </w:p>
    <w:p w14:paraId="4061AE10" w14:textId="77777777" w:rsidR="009354C5" w:rsidRDefault="009354C5">
      <w:pPr>
        <w:ind w:firstLine="0"/>
      </w:pPr>
    </w:p>
    <w:p w14:paraId="7E5F7A12" w14:textId="77777777" w:rsidR="009354C5" w:rsidRDefault="009354C5">
      <w:pPr>
        <w:ind w:firstLine="0"/>
      </w:pPr>
    </w:p>
    <w:p w14:paraId="2FDAF1B6" w14:textId="77777777" w:rsidR="009354C5" w:rsidRDefault="00875907">
      <w:pPr>
        <w:ind w:firstLine="708"/>
        <w:jc w:val="center"/>
      </w:pPr>
      <w:r>
        <w:br w:type="page"/>
      </w:r>
    </w:p>
    <w:p w14:paraId="7D779F9E" w14:textId="77777777" w:rsidR="009354C5" w:rsidRDefault="00875907">
      <w:pPr>
        <w:ind w:firstLine="708"/>
        <w:jc w:val="center"/>
      </w:pPr>
      <w:r>
        <w:rPr>
          <w:b/>
        </w:rPr>
        <w:lastRenderedPageBreak/>
        <w:t>Система обеспечения пожарной безопасности объекта защиты</w:t>
      </w:r>
    </w:p>
    <w:p w14:paraId="71335BB1" w14:textId="77777777" w:rsidR="009354C5" w:rsidRDefault="009354C5">
      <w:pPr>
        <w:ind w:firstLine="708"/>
        <w:jc w:val="center"/>
        <w:rPr>
          <w:b/>
        </w:rPr>
      </w:pPr>
    </w:p>
    <w:p w14:paraId="5A5199B3" w14:textId="77777777" w:rsidR="009354C5" w:rsidRDefault="00875907">
      <w:pPr>
        <w:spacing w:line="276" w:lineRule="auto"/>
        <w:ind w:right="-2"/>
        <w:jc w:val="both"/>
      </w:pPr>
      <w:r>
        <w:t xml:space="preserve">Каждый объект защиты должен иметь систему обеспечения пожарной безопасности. Целью создания системы обеспечения пожарной </w:t>
      </w:r>
      <w:r>
        <w:t>безопасности объекта защиты является предотвращение пожара, обеспечение безопасности людей и защита имущества при пожаре.</w:t>
      </w:r>
    </w:p>
    <w:p w14:paraId="0782405F" w14:textId="77777777" w:rsidR="009354C5" w:rsidRDefault="00875907">
      <w:pPr>
        <w:spacing w:line="276" w:lineRule="auto"/>
        <w:ind w:right="-2"/>
        <w:jc w:val="both"/>
      </w:pPr>
      <w:r>
        <w:t>Система обеспечения пожарной безопасности объекта защиты включает в себя систему предотвращения пожара, систему противопожарной защиты</w:t>
      </w:r>
      <w:r>
        <w:t>, комплекс организационно-технических мероприятий по обеспечению пожарной безопасности.</w:t>
      </w:r>
    </w:p>
    <w:p w14:paraId="2AEC35E9" w14:textId="77777777" w:rsidR="009354C5" w:rsidRDefault="00875907">
      <w:pPr>
        <w:spacing w:line="276" w:lineRule="auto"/>
        <w:ind w:right="-2"/>
        <w:jc w:val="both"/>
      </w:pPr>
      <w:r>
        <w:t>Система обеспечения пожарной безопасности объекта защиты в обязательном порядке должна содержать комплекс мероприятий, исключающих возможность превышения значений допус</w:t>
      </w:r>
      <w:r>
        <w:t>тимого пожарного риска, установленного настоящим Федеральным законом, и направленных на предотвращение опасности причинения вреда третьим лицам в результате пожара.</w:t>
      </w:r>
    </w:p>
    <w:p w14:paraId="42DCE45E" w14:textId="77777777" w:rsidR="009354C5" w:rsidRDefault="00875907">
      <w:pPr>
        <w:spacing w:line="276" w:lineRule="auto"/>
        <w:ind w:right="-2"/>
        <w:jc w:val="both"/>
      </w:pPr>
      <w:r>
        <w:rPr>
          <w:b/>
        </w:rPr>
        <w:t>Условия соответстви</w:t>
      </w:r>
      <w:r>
        <w:rPr>
          <w:b/>
          <w:spacing w:val="-2"/>
        </w:rPr>
        <w:t>я</w:t>
      </w:r>
      <w:r>
        <w:rPr>
          <w:b/>
        </w:rPr>
        <w:t xml:space="preserve"> объекта за</w:t>
      </w:r>
      <w:r>
        <w:rPr>
          <w:b/>
          <w:spacing w:val="-5"/>
        </w:rPr>
        <w:t>щ</w:t>
      </w:r>
      <w:r>
        <w:rPr>
          <w:b/>
        </w:rPr>
        <w:t>иты тре</w:t>
      </w:r>
      <w:r>
        <w:rPr>
          <w:b/>
          <w:spacing w:val="-2"/>
        </w:rPr>
        <w:t>б</w:t>
      </w:r>
      <w:r>
        <w:rPr>
          <w:b/>
        </w:rPr>
        <w:t>ованиям по</w:t>
      </w:r>
      <w:r>
        <w:rPr>
          <w:b/>
          <w:spacing w:val="-3"/>
        </w:rPr>
        <w:t>ж</w:t>
      </w:r>
      <w:r>
        <w:rPr>
          <w:b/>
        </w:rPr>
        <w:t>арной безопасности (ст</w:t>
      </w:r>
      <w:r>
        <w:rPr>
          <w:b/>
          <w:spacing w:val="-2"/>
        </w:rPr>
        <w:t>.</w:t>
      </w:r>
      <w:r>
        <w:rPr>
          <w:b/>
        </w:rPr>
        <w:t xml:space="preserve"> 6 Федерального з</w:t>
      </w:r>
      <w:r>
        <w:rPr>
          <w:b/>
        </w:rPr>
        <w:t>акона от 22.07.2008 № 123-ФЗ):</w:t>
      </w:r>
    </w:p>
    <w:p w14:paraId="2F31B0E2" w14:textId="77777777" w:rsidR="009354C5" w:rsidRDefault="00875907">
      <w:pPr>
        <w:spacing w:line="276" w:lineRule="auto"/>
        <w:ind w:right="-2"/>
        <w:jc w:val="both"/>
      </w:pPr>
      <w:r>
        <w:t>Пожарная безопасность объекта защиты считается обеспеченной при выполнении в полном объеме требований пожарной безопасности, установленных настоящим Федеральным законом, а также одного из следующих условий:</w:t>
      </w:r>
    </w:p>
    <w:p w14:paraId="205B9390" w14:textId="77777777" w:rsidR="009354C5" w:rsidRDefault="00875907">
      <w:pPr>
        <w:spacing w:line="276" w:lineRule="auto"/>
        <w:ind w:right="-2"/>
        <w:jc w:val="both"/>
      </w:pPr>
      <w:r>
        <w:t>1) выполнены требо</w:t>
      </w:r>
      <w:r>
        <w:t>вания пожарной безопасности, содержащиеся в нормативных документах по пожарной безопасности, указанных в пункте 1 части 3 статьи 4 настоящего Федерального закона;</w:t>
      </w:r>
    </w:p>
    <w:p w14:paraId="7438BD65" w14:textId="77777777" w:rsidR="009354C5" w:rsidRDefault="00875907">
      <w:pPr>
        <w:spacing w:line="276" w:lineRule="auto"/>
        <w:ind w:right="-2"/>
        <w:jc w:val="both"/>
      </w:pPr>
      <w:r>
        <w:t>2) пожарный риск не превышает допустимых значений, установленных настоящим Федеральным законо</w:t>
      </w:r>
      <w:r>
        <w:t>м;</w:t>
      </w:r>
    </w:p>
    <w:p w14:paraId="3FC6D3D6" w14:textId="77777777" w:rsidR="009354C5" w:rsidRDefault="00875907">
      <w:pPr>
        <w:spacing w:line="276" w:lineRule="auto"/>
        <w:ind w:right="-2"/>
        <w:jc w:val="both"/>
      </w:pPr>
      <w:r>
        <w:t>3) выполнены требования пожарной безопасности, содержащиеся в специальных технических условиях, отражающих специфику обеспечения пожарной безопасности зданий и сооружений и содержащих комплекс необходимых инженерно-технических и организационных мероприя</w:t>
      </w:r>
      <w:r>
        <w:t>тий по обеспечению пожарной безопасности, согласованных в порядке, установленном федеральным органом исполнительной власти, уполномоченным на решение задач в области пожарной безопасности;</w:t>
      </w:r>
    </w:p>
    <w:p w14:paraId="49B9943B" w14:textId="77777777" w:rsidR="009354C5" w:rsidRDefault="00875907">
      <w:pPr>
        <w:spacing w:line="276" w:lineRule="auto"/>
        <w:ind w:right="-2"/>
        <w:jc w:val="both"/>
      </w:pPr>
      <w:r>
        <w:t>4) выполнены требования пожарной безопасности, содержащиеся в станд</w:t>
      </w:r>
      <w:r>
        <w:t>арте организации, который согласован в порядке, установленном федеральным органом исполнительной власти, уполномоченным на решение задач в области пожарной безопасности;</w:t>
      </w:r>
    </w:p>
    <w:p w14:paraId="6F786CF4" w14:textId="77777777" w:rsidR="009354C5" w:rsidRDefault="00875907">
      <w:pPr>
        <w:spacing w:line="276" w:lineRule="auto"/>
        <w:ind w:right="-2"/>
        <w:jc w:val="both"/>
      </w:pPr>
      <w:r>
        <w:t>5) результаты исследований, расчетов и (или) испытаний подтверждают обеспечение пожарн</w:t>
      </w:r>
      <w:r>
        <w:t>ой безопасности объекта защиты в соответствии с частью 7 настоящей статьи.</w:t>
      </w:r>
    </w:p>
    <w:p w14:paraId="79F8BE74" w14:textId="77777777" w:rsidR="009354C5" w:rsidRDefault="00875907">
      <w:pPr>
        <w:spacing w:line="276" w:lineRule="auto"/>
        <w:ind w:right="-2"/>
        <w:jc w:val="both"/>
      </w:pPr>
      <w:r>
        <w:t xml:space="preserve">При выполнении обязательных требований пожарной безопасности, установленных техническими регламентами, принятыми в соответствии с Федеральным законом «О техническом регулировании», </w:t>
      </w:r>
      <w:r>
        <w:t>и требований нормативных документов по пожарной безопасности, а также для объектов защиты, которые были введены в эксплуатацию или проектная документация на которые была направлена на экспертизу до дня вступления в силу настоящего Федерального закона, расч</w:t>
      </w:r>
      <w:r>
        <w:t>ет пожарного риска не требуется.</w:t>
      </w:r>
    </w:p>
    <w:p w14:paraId="56AF650C" w14:textId="77777777" w:rsidR="009354C5" w:rsidRDefault="00875907">
      <w:pPr>
        <w:spacing w:line="276" w:lineRule="auto"/>
        <w:ind w:right="-2"/>
        <w:jc w:val="both"/>
      </w:pPr>
      <w:r>
        <w:t>Собственник объекта защиты или лицо, которое владеет им на ином законном основании (на праве аренды, хозяйственного ведения, оперативного управления и другое), должны в рамках реализации мер пожарной безопасности в соответс</w:t>
      </w:r>
      <w:r>
        <w:t>твии со статьей 64 настоящего Федерального закона в течение шести месяцев со дня приобретения такого права разработать и представить в уведомительном порядке декларацию пожарной безопасности.</w:t>
      </w:r>
    </w:p>
    <w:p w14:paraId="21C44F68" w14:textId="77777777" w:rsidR="009354C5" w:rsidRDefault="00875907">
      <w:pPr>
        <w:spacing w:line="276" w:lineRule="auto"/>
        <w:ind w:right="-2"/>
        <w:jc w:val="both"/>
      </w:pPr>
      <w:r>
        <w:t>Расчеты по оценке пожарного риска являются составной частью декл</w:t>
      </w:r>
      <w:r>
        <w:t>арации пожарной безопасности или декларации промышленной безопасности (на объектах, для которых они должны быть разработаны в соответствии с законодательством Российской Федерации).</w:t>
      </w:r>
    </w:p>
    <w:p w14:paraId="03271EA7" w14:textId="77777777" w:rsidR="009354C5" w:rsidRDefault="00875907">
      <w:pPr>
        <w:spacing w:line="276" w:lineRule="auto"/>
        <w:ind w:right="-2"/>
        <w:jc w:val="both"/>
      </w:pPr>
      <w:r>
        <w:t>Порядок проведения расчетов по оценке пожарного риска определяется нормати</w:t>
      </w:r>
      <w:r>
        <w:t>вными правовыми актами Российской Федерации и нормативными документами по пожарной безопасности.</w:t>
      </w:r>
    </w:p>
    <w:p w14:paraId="0ECFA64B" w14:textId="77777777" w:rsidR="009354C5" w:rsidRDefault="00875907">
      <w:pPr>
        <w:spacing w:line="276" w:lineRule="auto"/>
        <w:ind w:right="-2"/>
        <w:jc w:val="both"/>
      </w:pPr>
      <w:r>
        <w:t>Разработка декларации пожарной безопасности не требуется для обоснования пожарной безопасности пожарно-технической продукции и продукции общего назначения.</w:t>
      </w:r>
    </w:p>
    <w:p w14:paraId="4F2B3283" w14:textId="77777777" w:rsidR="009354C5" w:rsidRDefault="00875907">
      <w:pPr>
        <w:spacing w:line="276" w:lineRule="auto"/>
        <w:ind w:right="-2"/>
        <w:jc w:val="both"/>
      </w:pPr>
      <w:r>
        <w:t>Иде</w:t>
      </w:r>
      <w:r>
        <w:t>нтификация здания, сооружения, производственного объекта проводится путем установления их соответствия следующим существенным признакам:</w:t>
      </w:r>
    </w:p>
    <w:p w14:paraId="473D9CF6" w14:textId="77777777" w:rsidR="009354C5" w:rsidRDefault="00875907">
      <w:pPr>
        <w:spacing w:line="276" w:lineRule="auto"/>
        <w:ind w:right="-2"/>
        <w:jc w:val="both"/>
      </w:pPr>
      <w:r>
        <w:t>1) класс функциональной пожарной опасности;</w:t>
      </w:r>
    </w:p>
    <w:p w14:paraId="21BB6D40" w14:textId="77777777" w:rsidR="009354C5" w:rsidRDefault="00875907">
      <w:pPr>
        <w:spacing w:line="276" w:lineRule="auto"/>
        <w:ind w:right="-2"/>
        <w:jc w:val="both"/>
      </w:pPr>
      <w:r>
        <w:t>2) степень огнестойкости, класс конструктивной пожарной опасности;</w:t>
      </w:r>
    </w:p>
    <w:p w14:paraId="2E5AE899" w14:textId="77777777" w:rsidR="009354C5" w:rsidRDefault="00875907">
      <w:pPr>
        <w:spacing w:line="276" w:lineRule="auto"/>
        <w:ind w:right="-2"/>
        <w:jc w:val="both"/>
      </w:pPr>
      <w:r>
        <w:t>3) катег</w:t>
      </w:r>
      <w:r>
        <w:t>ория наружных установок по пожарной опасности, категория зданий, сооружений и помещений по пожарной и взрывопожарной опасности (для производственных объектов).</w:t>
      </w:r>
    </w:p>
    <w:p w14:paraId="7099FFD5" w14:textId="77777777" w:rsidR="009354C5" w:rsidRDefault="00875907">
      <w:pPr>
        <w:spacing w:line="276" w:lineRule="auto"/>
        <w:ind w:right="-2"/>
        <w:jc w:val="both"/>
      </w:pPr>
      <w:r>
        <w:rPr>
          <w:b/>
        </w:rPr>
        <w:t>Формы оценки соответствия объектов защиты (продукции) требованиям пожарной безопасности (ст</w:t>
      </w:r>
      <w:r>
        <w:rPr>
          <w:b/>
          <w:spacing w:val="-2"/>
        </w:rPr>
        <w:t>.</w:t>
      </w:r>
      <w:r>
        <w:rPr>
          <w:b/>
        </w:rPr>
        <w:t xml:space="preserve"> 144</w:t>
      </w:r>
      <w:r>
        <w:rPr>
          <w:b/>
        </w:rPr>
        <w:t xml:space="preserve"> Федерального закона от 22.07.2008 № 123-ФЗ):</w:t>
      </w:r>
    </w:p>
    <w:p w14:paraId="5EF88ECE" w14:textId="77777777" w:rsidR="009354C5" w:rsidRDefault="00875907">
      <w:pPr>
        <w:spacing w:line="276" w:lineRule="auto"/>
        <w:ind w:right="-2"/>
        <w:jc w:val="both"/>
      </w:pPr>
      <w:r>
        <w:t>Оценка</w:t>
      </w:r>
      <w:r>
        <w:rPr>
          <w:spacing w:val="62"/>
        </w:rPr>
        <w:t xml:space="preserve"> </w:t>
      </w:r>
      <w:r>
        <w:t>соответствия</w:t>
      </w:r>
      <w:r>
        <w:rPr>
          <w:spacing w:val="62"/>
        </w:rPr>
        <w:t xml:space="preserve"> </w:t>
      </w:r>
      <w:r>
        <w:t>объектов</w:t>
      </w:r>
      <w:r>
        <w:rPr>
          <w:spacing w:val="61"/>
        </w:rPr>
        <w:t xml:space="preserve"> </w:t>
      </w:r>
      <w:r>
        <w:t>защиты (прод</w:t>
      </w:r>
      <w:r>
        <w:rPr>
          <w:spacing w:val="-7"/>
        </w:rPr>
        <w:t>у</w:t>
      </w:r>
      <w:r>
        <w:t>кции),</w:t>
      </w:r>
      <w:r>
        <w:rPr>
          <w:spacing w:val="121"/>
        </w:rPr>
        <w:t xml:space="preserve"> </w:t>
      </w:r>
      <w:r>
        <w:t>организ</w:t>
      </w:r>
      <w:r>
        <w:rPr>
          <w:spacing w:val="-3"/>
        </w:rPr>
        <w:t>а</w:t>
      </w:r>
      <w:r>
        <w:t>ций</w:t>
      </w:r>
      <w:r>
        <w:rPr>
          <w:spacing w:val="-2"/>
        </w:rPr>
        <w:t>,</w:t>
      </w:r>
      <w:r>
        <w:rPr>
          <w:spacing w:val="122"/>
        </w:rPr>
        <w:t xml:space="preserve"> </w:t>
      </w:r>
      <w:r>
        <w:t>ос</w:t>
      </w:r>
      <w:r>
        <w:rPr>
          <w:spacing w:val="-4"/>
        </w:rPr>
        <w:t>у</w:t>
      </w:r>
      <w:r>
        <w:t>ществляющих</w:t>
      </w:r>
      <w:r>
        <w:rPr>
          <w:spacing w:val="122"/>
        </w:rPr>
        <w:t xml:space="preserve"> </w:t>
      </w:r>
      <w:r>
        <w:t>подтверждение</w:t>
      </w:r>
      <w:r>
        <w:rPr>
          <w:spacing w:val="122"/>
        </w:rPr>
        <w:t xml:space="preserve"> </w:t>
      </w:r>
      <w:r>
        <w:t>соответствия</w:t>
      </w:r>
      <w:r>
        <w:rPr>
          <w:spacing w:val="122"/>
        </w:rPr>
        <w:t xml:space="preserve"> </w:t>
      </w:r>
      <w:r>
        <w:t>процессов проектирования, производства, строительства, монтажа, наладки, экспл</w:t>
      </w:r>
      <w:r>
        <w:rPr>
          <w:spacing w:val="-4"/>
        </w:rPr>
        <w:t>у</w:t>
      </w:r>
      <w:r>
        <w:t>атации, хранения</w:t>
      </w:r>
      <w:r>
        <w:rPr>
          <w:spacing w:val="-2"/>
        </w:rPr>
        <w:t>,</w:t>
      </w:r>
      <w:r>
        <w:t xml:space="preserve"> перевозки,</w:t>
      </w:r>
      <w:r>
        <w:rPr>
          <w:spacing w:val="266"/>
        </w:rPr>
        <w:t xml:space="preserve"> </w:t>
      </w:r>
      <w:r>
        <w:t>реализации</w:t>
      </w:r>
      <w:r>
        <w:rPr>
          <w:spacing w:val="263"/>
        </w:rPr>
        <w:t xml:space="preserve"> </w:t>
      </w:r>
      <w:r>
        <w:t>и</w:t>
      </w:r>
      <w:r>
        <w:rPr>
          <w:spacing w:val="268"/>
        </w:rPr>
        <w:t xml:space="preserve"> </w:t>
      </w:r>
      <w:r>
        <w:rPr>
          <w:spacing w:val="-7"/>
        </w:rPr>
        <w:t>у</w:t>
      </w:r>
      <w:r>
        <w:t>тилизации</w:t>
      </w:r>
      <w:r>
        <w:rPr>
          <w:spacing w:val="-2"/>
        </w:rPr>
        <w:t>,</w:t>
      </w:r>
      <w:r>
        <w:rPr>
          <w:spacing w:val="266"/>
        </w:rPr>
        <w:t xml:space="preserve"> </w:t>
      </w:r>
      <w:r>
        <w:t>требованиям</w:t>
      </w:r>
      <w:r>
        <w:rPr>
          <w:spacing w:val="266"/>
        </w:rPr>
        <w:t xml:space="preserve"> </w:t>
      </w:r>
      <w:r>
        <w:t>по</w:t>
      </w:r>
      <w:r>
        <w:rPr>
          <w:spacing w:val="-2"/>
        </w:rPr>
        <w:t>ж</w:t>
      </w:r>
      <w:r>
        <w:t>арной</w:t>
      </w:r>
      <w:r>
        <w:rPr>
          <w:spacing w:val="266"/>
        </w:rPr>
        <w:t xml:space="preserve"> </w:t>
      </w:r>
      <w:r>
        <w:t>без</w:t>
      </w:r>
      <w:r>
        <w:rPr>
          <w:spacing w:val="-2"/>
        </w:rPr>
        <w:t>о</w:t>
      </w:r>
      <w:r>
        <w:t>пасности</w:t>
      </w:r>
      <w:r>
        <w:rPr>
          <w:spacing w:val="-2"/>
        </w:rPr>
        <w:t>,</w:t>
      </w:r>
      <w:r>
        <w:t xml:space="preserve"> </w:t>
      </w:r>
      <w:r>
        <w:rPr>
          <w:spacing w:val="-4"/>
        </w:rPr>
        <w:t>у</w:t>
      </w:r>
      <w:r>
        <w:t>становленным</w:t>
      </w:r>
      <w:r>
        <w:rPr>
          <w:spacing w:val="287"/>
        </w:rPr>
        <w:t xml:space="preserve"> </w:t>
      </w:r>
      <w:r>
        <w:t>техническими</w:t>
      </w:r>
      <w:r>
        <w:rPr>
          <w:spacing w:val="287"/>
        </w:rPr>
        <w:t xml:space="preserve"> </w:t>
      </w:r>
      <w:r>
        <w:t>регламентами,</w:t>
      </w:r>
      <w:r>
        <w:rPr>
          <w:spacing w:val="287"/>
        </w:rPr>
        <w:t xml:space="preserve"> </w:t>
      </w:r>
      <w:r>
        <w:t>принятыми</w:t>
      </w:r>
      <w:r>
        <w:rPr>
          <w:spacing w:val="287"/>
        </w:rPr>
        <w:t xml:space="preserve"> </w:t>
      </w:r>
      <w:r>
        <w:rPr>
          <w:spacing w:val="-2"/>
        </w:rPr>
        <w:t>в</w:t>
      </w:r>
      <w:r>
        <w:rPr>
          <w:spacing w:val="287"/>
        </w:rPr>
        <w:t xml:space="preserve"> </w:t>
      </w:r>
      <w:r>
        <w:t>соответствии</w:t>
      </w:r>
      <w:r>
        <w:rPr>
          <w:spacing w:val="287"/>
        </w:rPr>
        <w:t xml:space="preserve"> </w:t>
      </w:r>
      <w:r>
        <w:rPr>
          <w:spacing w:val="-3"/>
        </w:rPr>
        <w:t>с</w:t>
      </w:r>
      <w:r>
        <w:t xml:space="preserve"> Федеральным</w:t>
      </w:r>
      <w:hyperlink r:id="rId7">
        <w:r>
          <w:t xml:space="preserve"> законом </w:t>
        </w:r>
      </w:hyperlink>
      <w:r>
        <w:t>«О</w:t>
      </w:r>
      <w:r>
        <w:rPr>
          <w:spacing w:val="49"/>
        </w:rPr>
        <w:t xml:space="preserve"> </w:t>
      </w:r>
      <w:r>
        <w:t>техническом</w:t>
      </w:r>
      <w:r>
        <w:rPr>
          <w:spacing w:val="50"/>
        </w:rPr>
        <w:t xml:space="preserve"> </w:t>
      </w:r>
      <w:r>
        <w:t>рег</w:t>
      </w:r>
      <w:r>
        <w:rPr>
          <w:spacing w:val="-4"/>
        </w:rPr>
        <w:t>у</w:t>
      </w:r>
      <w:r>
        <w:t>лир</w:t>
      </w:r>
      <w:r>
        <w:t>овании»,</w:t>
      </w:r>
      <w:r>
        <w:rPr>
          <w:spacing w:val="50"/>
        </w:rPr>
        <w:t xml:space="preserve"> </w:t>
      </w:r>
      <w:r>
        <w:t>нормати</w:t>
      </w:r>
      <w:r>
        <w:rPr>
          <w:spacing w:val="-2"/>
        </w:rPr>
        <w:t>в</w:t>
      </w:r>
      <w:r>
        <w:t>ными</w:t>
      </w:r>
      <w:r>
        <w:rPr>
          <w:spacing w:val="50"/>
        </w:rPr>
        <w:t xml:space="preserve"> </w:t>
      </w:r>
      <w:r>
        <w:t>док</w:t>
      </w:r>
      <w:r>
        <w:rPr>
          <w:spacing w:val="-7"/>
        </w:rPr>
        <w:t>у</w:t>
      </w:r>
      <w:r>
        <w:t>ментами</w:t>
      </w:r>
      <w:r>
        <w:rPr>
          <w:spacing w:val="50"/>
        </w:rPr>
        <w:t xml:space="preserve"> </w:t>
      </w:r>
      <w:r>
        <w:t>п</w:t>
      </w:r>
      <w:r>
        <w:rPr>
          <w:spacing w:val="-2"/>
        </w:rPr>
        <w:t>о</w:t>
      </w:r>
      <w:r>
        <w:t xml:space="preserve"> пожарной без</w:t>
      </w:r>
      <w:r>
        <w:rPr>
          <w:spacing w:val="-2"/>
        </w:rPr>
        <w:t>о</w:t>
      </w:r>
      <w:r>
        <w:t xml:space="preserve">пасности, и </w:t>
      </w:r>
      <w:r>
        <w:rPr>
          <w:spacing w:val="-4"/>
        </w:rPr>
        <w:t>у</w:t>
      </w:r>
      <w:r>
        <w:t xml:space="preserve">словиям договоров проводится в формах: </w:t>
      </w:r>
    </w:p>
    <w:p w14:paraId="008B5B91" w14:textId="77777777" w:rsidR="009354C5" w:rsidRDefault="00875907">
      <w:pPr>
        <w:spacing w:line="276" w:lineRule="auto"/>
        <w:ind w:right="-2"/>
        <w:jc w:val="both"/>
      </w:pPr>
      <w:r>
        <w:t xml:space="preserve">1) аккредитации; </w:t>
      </w:r>
    </w:p>
    <w:p w14:paraId="7D447E46" w14:textId="77777777" w:rsidR="009354C5" w:rsidRDefault="00875907">
      <w:pPr>
        <w:spacing w:line="276" w:lineRule="auto"/>
        <w:ind w:right="-2"/>
        <w:jc w:val="both"/>
      </w:pPr>
      <w:r>
        <w:t>2) независимой оценки</w:t>
      </w:r>
      <w:r>
        <w:rPr>
          <w:spacing w:val="-2"/>
        </w:rPr>
        <w:t xml:space="preserve"> </w:t>
      </w:r>
      <w:r>
        <w:t>пожарного риска (а</w:t>
      </w:r>
      <w:r>
        <w:rPr>
          <w:spacing w:val="-4"/>
        </w:rPr>
        <w:t>у</w:t>
      </w:r>
      <w:r>
        <w:t>дита пожарной без</w:t>
      </w:r>
      <w:r>
        <w:rPr>
          <w:spacing w:val="-2"/>
        </w:rPr>
        <w:t>о</w:t>
      </w:r>
      <w:r>
        <w:t xml:space="preserve">пасности); </w:t>
      </w:r>
    </w:p>
    <w:p w14:paraId="47AD30E7" w14:textId="77777777" w:rsidR="009354C5" w:rsidRDefault="00875907">
      <w:pPr>
        <w:spacing w:line="276" w:lineRule="auto"/>
        <w:ind w:right="-2"/>
        <w:jc w:val="both"/>
      </w:pPr>
      <w:r>
        <w:t>3) федерального гос</w:t>
      </w:r>
      <w:r>
        <w:rPr>
          <w:spacing w:val="-4"/>
        </w:rPr>
        <w:t>у</w:t>
      </w:r>
      <w:r>
        <w:t>дарственного пожарного</w:t>
      </w:r>
      <w:r>
        <w:rPr>
          <w:spacing w:val="-2"/>
        </w:rPr>
        <w:t xml:space="preserve"> </w:t>
      </w:r>
      <w:r>
        <w:t xml:space="preserve">надзора; </w:t>
      </w:r>
    </w:p>
    <w:p w14:paraId="5A39DB78" w14:textId="77777777" w:rsidR="009354C5" w:rsidRDefault="00875907">
      <w:pPr>
        <w:spacing w:line="276" w:lineRule="auto"/>
        <w:ind w:right="-2"/>
        <w:jc w:val="both"/>
      </w:pPr>
      <w:r>
        <w:t xml:space="preserve">4) </w:t>
      </w:r>
      <w:r>
        <w:t>декларирования по</w:t>
      </w:r>
      <w:r>
        <w:rPr>
          <w:spacing w:val="-2"/>
        </w:rPr>
        <w:t>ж</w:t>
      </w:r>
      <w:r>
        <w:t xml:space="preserve">арной безопасности; </w:t>
      </w:r>
    </w:p>
    <w:p w14:paraId="78A5645B" w14:textId="77777777" w:rsidR="009354C5" w:rsidRDefault="00875907">
      <w:pPr>
        <w:spacing w:line="276" w:lineRule="auto"/>
        <w:ind w:right="-2"/>
        <w:jc w:val="both"/>
      </w:pPr>
      <w:r>
        <w:t xml:space="preserve">5) исследований (испытаний); </w:t>
      </w:r>
    </w:p>
    <w:p w14:paraId="7C07E81F" w14:textId="77777777" w:rsidR="009354C5" w:rsidRDefault="00875907">
      <w:pPr>
        <w:spacing w:line="276" w:lineRule="auto"/>
        <w:ind w:right="-2"/>
        <w:jc w:val="both"/>
      </w:pPr>
      <w:r>
        <w:t>6) подтверждения соответствия объектов защиты (прод</w:t>
      </w:r>
      <w:r>
        <w:rPr>
          <w:spacing w:val="-7"/>
        </w:rPr>
        <w:t>у</w:t>
      </w:r>
      <w:r>
        <w:t xml:space="preserve">кции); </w:t>
      </w:r>
    </w:p>
    <w:p w14:paraId="5660F136" w14:textId="77777777" w:rsidR="009354C5" w:rsidRDefault="00875907">
      <w:pPr>
        <w:spacing w:line="276" w:lineRule="auto"/>
        <w:ind w:right="-2"/>
        <w:jc w:val="both"/>
      </w:pPr>
      <w:r>
        <w:t>7) приемки и ввода в экспл</w:t>
      </w:r>
      <w:r>
        <w:rPr>
          <w:spacing w:val="-4"/>
        </w:rPr>
        <w:t>у</w:t>
      </w:r>
      <w:r>
        <w:t>атацию объектов защиты (прод</w:t>
      </w:r>
      <w:r>
        <w:rPr>
          <w:spacing w:val="-7"/>
        </w:rPr>
        <w:t>у</w:t>
      </w:r>
      <w:r>
        <w:t xml:space="preserve">кции), а также систем </w:t>
      </w:r>
      <w:r>
        <w:br/>
        <w:t>пожарной без</w:t>
      </w:r>
      <w:r>
        <w:rPr>
          <w:spacing w:val="-2"/>
        </w:rPr>
        <w:t>о</w:t>
      </w:r>
      <w:r>
        <w:t xml:space="preserve">пасности; </w:t>
      </w:r>
    </w:p>
    <w:p w14:paraId="60127982" w14:textId="77777777" w:rsidR="009354C5" w:rsidRDefault="00875907">
      <w:pPr>
        <w:spacing w:line="276" w:lineRule="auto"/>
        <w:ind w:right="-2"/>
        <w:jc w:val="both"/>
      </w:pPr>
      <w:r>
        <w:t>8) производственного</w:t>
      </w:r>
      <w:r>
        <w:rPr>
          <w:spacing w:val="-2"/>
        </w:rPr>
        <w:t xml:space="preserve"> </w:t>
      </w:r>
      <w:r>
        <w:t>кон</w:t>
      </w:r>
      <w:r>
        <w:t xml:space="preserve">троля; </w:t>
      </w:r>
    </w:p>
    <w:p w14:paraId="3FCC68B6" w14:textId="77777777" w:rsidR="009354C5" w:rsidRDefault="00875907">
      <w:pPr>
        <w:spacing w:line="276" w:lineRule="auto"/>
        <w:ind w:right="-2"/>
        <w:jc w:val="both"/>
      </w:pPr>
      <w:r>
        <w:t>9) экспертизы.</w:t>
      </w:r>
    </w:p>
    <w:p w14:paraId="1FD9EAF5" w14:textId="77777777" w:rsidR="009354C5" w:rsidRDefault="00875907">
      <w:pPr>
        <w:spacing w:line="276" w:lineRule="auto"/>
        <w:ind w:right="-2"/>
        <w:jc w:val="both"/>
      </w:pPr>
      <w:r>
        <w:t>Порядок оценки соответствия объектов защиты (продукции) установленным требованиям пожарной безопасности путем независимой оценки пожарного риска устанавливается нормативными правовыми актами Российской Федерации.</w:t>
      </w:r>
    </w:p>
    <w:p w14:paraId="06176E82" w14:textId="77777777" w:rsidR="009354C5" w:rsidRDefault="00875907">
      <w:pPr>
        <w:spacing w:line="276" w:lineRule="auto"/>
        <w:ind w:right="-2"/>
        <w:jc w:val="both"/>
      </w:pPr>
      <w:r>
        <w:rPr>
          <w:b/>
        </w:rPr>
        <w:t>Подтверждение соотве</w:t>
      </w:r>
      <w:r>
        <w:rPr>
          <w:b/>
        </w:rPr>
        <w:t>тствия объектов защиты (продукции) требованиям пожарной безопасности (ст</w:t>
      </w:r>
      <w:r>
        <w:rPr>
          <w:b/>
          <w:spacing w:val="-2"/>
        </w:rPr>
        <w:t>.</w:t>
      </w:r>
      <w:r>
        <w:rPr>
          <w:b/>
        </w:rPr>
        <w:t xml:space="preserve"> 145 Федеральног</w:t>
      </w:r>
      <w:bookmarkStart w:id="1" w:name="_GoBack1"/>
      <w:bookmarkEnd w:id="1"/>
      <w:r>
        <w:rPr>
          <w:b/>
        </w:rPr>
        <w:t>о закона от 22.07.2008 № 123-ФЗ):</w:t>
      </w:r>
    </w:p>
    <w:p w14:paraId="4BF718DD" w14:textId="77777777" w:rsidR="009354C5" w:rsidRDefault="00875907">
      <w:pPr>
        <w:spacing w:line="276" w:lineRule="auto"/>
        <w:ind w:right="-2"/>
        <w:jc w:val="both"/>
      </w:pPr>
      <w:r>
        <w:t>Подтверждение соответствия объектов защиты (продукции) требованиям пожарной безопасности на территории Российской Федерации осуществл</w:t>
      </w:r>
      <w:r>
        <w:t>яется в добровольном или обязательном порядке, установленном законодательством Российской Федерации.</w:t>
      </w:r>
    </w:p>
    <w:p w14:paraId="6181B37F" w14:textId="77777777" w:rsidR="009354C5" w:rsidRDefault="00875907">
      <w:pPr>
        <w:spacing w:line="276" w:lineRule="auto"/>
        <w:ind w:right="-2"/>
        <w:jc w:val="both"/>
      </w:pPr>
      <w:r>
        <w:t>Добровольное подтверждение соответствия объектов защиты (продукции) требованиям пожарной безопасности осуществляется в форме добровольной сертификации.</w:t>
      </w:r>
    </w:p>
    <w:p w14:paraId="47CFE77A" w14:textId="77777777" w:rsidR="009354C5" w:rsidRDefault="00875907">
      <w:pPr>
        <w:spacing w:line="276" w:lineRule="auto"/>
        <w:ind w:right="-2"/>
        <w:jc w:val="both"/>
      </w:pPr>
      <w:r>
        <w:t>Обя</w:t>
      </w:r>
      <w:r>
        <w:t>зательное подтверждение соответствия объектов защиты (продукции) требованиям настоящего Федерального закона осуществляется в форме декларирования соответствия или в форме обязательной сертификации.</w:t>
      </w:r>
    </w:p>
    <w:p w14:paraId="0DF01315" w14:textId="77777777" w:rsidR="009354C5" w:rsidRDefault="00875907">
      <w:pPr>
        <w:spacing w:line="276" w:lineRule="auto"/>
        <w:ind w:right="-2"/>
        <w:jc w:val="both"/>
      </w:pPr>
      <w:r>
        <w:t>Обязательному подтверждению соответствия требованиям пожар</w:t>
      </w:r>
      <w:r>
        <w:t>ной безопасности подлежат объекты защиты (продукция) общего назначения и пожарная техника, требования пожарной безопасности к которым устанавливаются настоящим Федеральным законом и (или) техническими регламентами, принятыми в соответствии с Федеральным за</w:t>
      </w:r>
      <w:r>
        <w:t xml:space="preserve">коном </w:t>
      </w:r>
      <w:r>
        <w:t>«</w:t>
      </w:r>
      <w:r>
        <w:t>О техническом регулировании», содержащими требования к отдельным видам продукции.</w:t>
      </w:r>
    </w:p>
    <w:p w14:paraId="4E18C559" w14:textId="77777777" w:rsidR="009354C5" w:rsidRDefault="00875907">
      <w:pPr>
        <w:spacing w:line="276" w:lineRule="auto"/>
        <w:ind w:right="-2"/>
        <w:jc w:val="both"/>
      </w:pPr>
      <w:r>
        <w:t>Декларирование соответствия продукции требованиям настоящего Федерального закона может осуществляться юридическим лицом или физическим лицом, зарегистрированным в каче</w:t>
      </w:r>
      <w:r>
        <w:t>стве индивидуального предпринимателя на территории Российской Федерации в соответствии с законодательством Российской Федерации, которые являются изготовителями (продавцами) продукции, либо юридическим лицом или физическим лицом, зарегистрированным в качес</w:t>
      </w:r>
      <w:r>
        <w:t>тве индивидуального предпринимателя на территории Российской Федерации в соответствии с законодательством Российской Федерации, выполняющими по договору функции иностранного изготовителя (продавца) в части обеспечения соответствия поставляемой продукции тр</w:t>
      </w:r>
      <w:r>
        <w:t>ебованиям настоящего Федерального закона, а также несущими ответственность за нарушение указанных требований.</w:t>
      </w:r>
    </w:p>
    <w:p w14:paraId="2757D46E" w14:textId="77777777" w:rsidR="009354C5" w:rsidRDefault="00875907">
      <w:pPr>
        <w:spacing w:line="276" w:lineRule="auto"/>
        <w:ind w:right="-2"/>
        <w:jc w:val="both"/>
      </w:pPr>
      <w:r>
        <w:t>Подтверждение соответствия объектов защиты (продукции) требованиям пожарной безопасности в форме декларирования с привлечением третьей стороны про</w:t>
      </w:r>
      <w:r>
        <w:t>водится только в организациях, аккредитованных на право проведения таких работ.</w:t>
      </w:r>
    </w:p>
    <w:p w14:paraId="6F7D456B" w14:textId="77777777" w:rsidR="009354C5" w:rsidRDefault="00875907">
      <w:pPr>
        <w:spacing w:line="276" w:lineRule="auto"/>
        <w:ind w:right="-2"/>
        <w:jc w:val="both"/>
      </w:pPr>
      <w:r>
        <w:t>Продукция, соответствие требованиям пожарной безопасности которой подтверждено в установленном настоящим Федеральным законом порядке, маркируется знаком обращения на рынке. Есл</w:t>
      </w:r>
      <w:r>
        <w:t>и к продукции предъявляются требования различных технических регламентов, то знак обращения на рынке проставляется только после подтверждения соответствия этой продукции требованиям соответствующих технических регламентов.</w:t>
      </w:r>
    </w:p>
    <w:p w14:paraId="33DD0252" w14:textId="77777777" w:rsidR="009354C5" w:rsidRDefault="00875907">
      <w:pPr>
        <w:spacing w:line="276" w:lineRule="auto"/>
        <w:ind w:right="-2"/>
        <w:jc w:val="both"/>
      </w:pPr>
      <w:r>
        <w:rPr>
          <w:color w:val="000000"/>
        </w:rPr>
        <w:t xml:space="preserve">Знак обращения на рынке </w:t>
      </w:r>
      <w:r>
        <w:rPr>
          <w:color w:val="000000"/>
        </w:rPr>
        <w:t xml:space="preserve">применяется изготовителями (продавцами) на основании сертификата соответствия или декларации соответствия. Знак обращения на рынке проставляется на продукции и (или) на ее упаковке (таре), а также в сопроводительной технической документации, поступающей к </w:t>
      </w:r>
      <w:r>
        <w:rPr>
          <w:color w:val="000000"/>
        </w:rPr>
        <w:t>потребителю при реализации.</w:t>
      </w:r>
    </w:p>
    <w:p w14:paraId="40AEE5B8" w14:textId="77777777" w:rsidR="009354C5" w:rsidRDefault="009354C5">
      <w:pPr>
        <w:pStyle w:val="af5"/>
        <w:shd w:val="clear" w:color="auto" w:fill="auto"/>
        <w:spacing w:line="280" w:lineRule="exact"/>
      </w:pPr>
    </w:p>
    <w:p w14:paraId="10AFAD32" w14:textId="77777777" w:rsidR="009354C5" w:rsidRDefault="009354C5">
      <w:pPr>
        <w:pStyle w:val="af5"/>
        <w:shd w:val="clear" w:color="auto" w:fill="auto"/>
        <w:spacing w:line="280" w:lineRule="exact"/>
      </w:pPr>
    </w:p>
    <w:p w14:paraId="3E94197A" w14:textId="77777777" w:rsidR="009354C5" w:rsidRDefault="009354C5">
      <w:pPr>
        <w:pStyle w:val="af5"/>
        <w:shd w:val="clear" w:color="auto" w:fill="auto"/>
        <w:spacing w:line="280" w:lineRule="exact"/>
      </w:pPr>
    </w:p>
    <w:p w14:paraId="52A22DA5" w14:textId="77777777" w:rsidR="009354C5" w:rsidRDefault="009354C5">
      <w:pPr>
        <w:pStyle w:val="af5"/>
        <w:shd w:val="clear" w:color="auto" w:fill="auto"/>
        <w:spacing w:line="280" w:lineRule="exact"/>
      </w:pPr>
    </w:p>
    <w:p w14:paraId="32BDE1FE" w14:textId="77777777" w:rsidR="009354C5" w:rsidRDefault="009354C5">
      <w:pPr>
        <w:pStyle w:val="af5"/>
        <w:shd w:val="clear" w:color="auto" w:fill="auto"/>
        <w:spacing w:line="280" w:lineRule="exact"/>
      </w:pPr>
    </w:p>
    <w:p w14:paraId="399398F4" w14:textId="77777777" w:rsidR="009354C5" w:rsidRDefault="009354C5">
      <w:pPr>
        <w:pStyle w:val="af5"/>
        <w:shd w:val="clear" w:color="auto" w:fill="auto"/>
        <w:spacing w:line="280" w:lineRule="exact"/>
      </w:pPr>
    </w:p>
    <w:p w14:paraId="6E5F8DA6" w14:textId="77777777" w:rsidR="009354C5" w:rsidRDefault="009354C5">
      <w:pPr>
        <w:pStyle w:val="af5"/>
        <w:shd w:val="clear" w:color="auto" w:fill="auto"/>
        <w:spacing w:line="280" w:lineRule="exact"/>
      </w:pPr>
    </w:p>
    <w:p w14:paraId="62C9FE4E" w14:textId="77777777" w:rsidR="009354C5" w:rsidRDefault="009354C5">
      <w:pPr>
        <w:pStyle w:val="af5"/>
        <w:shd w:val="clear" w:color="auto" w:fill="auto"/>
        <w:spacing w:line="280" w:lineRule="exact"/>
      </w:pPr>
    </w:p>
    <w:p w14:paraId="7A2DF0D7" w14:textId="77777777" w:rsidR="009354C5" w:rsidRDefault="009354C5">
      <w:pPr>
        <w:pStyle w:val="af5"/>
        <w:shd w:val="clear" w:color="auto" w:fill="auto"/>
        <w:spacing w:line="280" w:lineRule="exact"/>
      </w:pPr>
    </w:p>
    <w:p w14:paraId="4F7D67A2" w14:textId="77777777" w:rsidR="009354C5" w:rsidRDefault="009354C5">
      <w:pPr>
        <w:pStyle w:val="af5"/>
        <w:shd w:val="clear" w:color="auto" w:fill="auto"/>
        <w:spacing w:line="280" w:lineRule="exact"/>
      </w:pPr>
    </w:p>
    <w:p w14:paraId="18FD91B0" w14:textId="77777777" w:rsidR="009354C5" w:rsidRDefault="009354C5">
      <w:pPr>
        <w:pStyle w:val="af5"/>
        <w:shd w:val="clear" w:color="auto" w:fill="auto"/>
        <w:spacing w:line="280" w:lineRule="exact"/>
      </w:pPr>
    </w:p>
    <w:p w14:paraId="52CACCA0" w14:textId="77777777" w:rsidR="009354C5" w:rsidRDefault="009354C5">
      <w:pPr>
        <w:pStyle w:val="af5"/>
        <w:shd w:val="clear" w:color="auto" w:fill="auto"/>
        <w:spacing w:line="280" w:lineRule="exact"/>
      </w:pPr>
    </w:p>
    <w:p w14:paraId="4918FF19" w14:textId="77777777" w:rsidR="009354C5" w:rsidRDefault="009354C5">
      <w:pPr>
        <w:pStyle w:val="af5"/>
        <w:shd w:val="clear" w:color="auto" w:fill="auto"/>
        <w:spacing w:line="280" w:lineRule="exact"/>
      </w:pPr>
    </w:p>
    <w:p w14:paraId="5EFF4E47" w14:textId="77777777" w:rsidR="009354C5" w:rsidRDefault="009354C5">
      <w:pPr>
        <w:pStyle w:val="af5"/>
        <w:shd w:val="clear" w:color="auto" w:fill="auto"/>
        <w:spacing w:line="280" w:lineRule="exact"/>
      </w:pPr>
    </w:p>
    <w:p w14:paraId="036ADEBA" w14:textId="77777777" w:rsidR="009354C5" w:rsidRDefault="009354C5">
      <w:pPr>
        <w:pStyle w:val="af5"/>
        <w:shd w:val="clear" w:color="auto" w:fill="auto"/>
        <w:spacing w:line="280" w:lineRule="exact"/>
      </w:pPr>
    </w:p>
    <w:p w14:paraId="35EF2C62" w14:textId="77777777" w:rsidR="009354C5" w:rsidRDefault="009354C5">
      <w:pPr>
        <w:pStyle w:val="af5"/>
        <w:shd w:val="clear" w:color="auto" w:fill="auto"/>
        <w:spacing w:line="280" w:lineRule="exact"/>
      </w:pPr>
    </w:p>
    <w:p w14:paraId="338688E3" w14:textId="77777777" w:rsidR="009354C5" w:rsidRDefault="009354C5">
      <w:pPr>
        <w:pStyle w:val="af5"/>
        <w:shd w:val="clear" w:color="auto" w:fill="auto"/>
        <w:spacing w:line="280" w:lineRule="exact"/>
      </w:pPr>
    </w:p>
    <w:p w14:paraId="4B3E4BC6" w14:textId="77777777" w:rsidR="009354C5" w:rsidRDefault="009354C5">
      <w:pPr>
        <w:pStyle w:val="af5"/>
        <w:shd w:val="clear" w:color="auto" w:fill="auto"/>
        <w:spacing w:line="280" w:lineRule="exact"/>
      </w:pPr>
    </w:p>
    <w:p w14:paraId="2FEDC691" w14:textId="77777777" w:rsidR="009354C5" w:rsidRDefault="009354C5">
      <w:pPr>
        <w:pStyle w:val="af5"/>
        <w:shd w:val="clear" w:color="auto" w:fill="auto"/>
        <w:spacing w:line="280" w:lineRule="exact"/>
      </w:pPr>
    </w:p>
    <w:p w14:paraId="4FE78822" w14:textId="77777777" w:rsidR="009354C5" w:rsidRDefault="009354C5">
      <w:pPr>
        <w:pStyle w:val="af5"/>
        <w:shd w:val="clear" w:color="auto" w:fill="auto"/>
        <w:spacing w:line="280" w:lineRule="exact"/>
      </w:pPr>
    </w:p>
    <w:p w14:paraId="005E69EE" w14:textId="77777777" w:rsidR="009354C5" w:rsidRDefault="009354C5">
      <w:pPr>
        <w:pStyle w:val="af5"/>
        <w:shd w:val="clear" w:color="auto" w:fill="auto"/>
        <w:spacing w:line="280" w:lineRule="exact"/>
      </w:pPr>
    </w:p>
    <w:p w14:paraId="41128050" w14:textId="77777777" w:rsidR="009354C5" w:rsidRDefault="009354C5">
      <w:pPr>
        <w:pStyle w:val="af5"/>
        <w:shd w:val="clear" w:color="auto" w:fill="auto"/>
        <w:spacing w:line="280" w:lineRule="exact"/>
      </w:pPr>
    </w:p>
    <w:p w14:paraId="7DD16762" w14:textId="77777777" w:rsidR="009354C5" w:rsidRDefault="009354C5">
      <w:pPr>
        <w:pStyle w:val="af5"/>
        <w:shd w:val="clear" w:color="auto" w:fill="auto"/>
        <w:spacing w:line="280" w:lineRule="exact"/>
      </w:pPr>
    </w:p>
    <w:p w14:paraId="65781F86" w14:textId="77777777" w:rsidR="009354C5" w:rsidRDefault="009354C5">
      <w:pPr>
        <w:pStyle w:val="af5"/>
        <w:shd w:val="clear" w:color="auto" w:fill="auto"/>
        <w:spacing w:line="280" w:lineRule="exact"/>
      </w:pPr>
    </w:p>
    <w:p w14:paraId="4C5E3A82" w14:textId="77777777" w:rsidR="009354C5" w:rsidRDefault="009354C5">
      <w:pPr>
        <w:pStyle w:val="af5"/>
        <w:shd w:val="clear" w:color="auto" w:fill="auto"/>
        <w:spacing w:line="280" w:lineRule="exact"/>
      </w:pPr>
    </w:p>
    <w:p w14:paraId="55F77D78" w14:textId="77777777" w:rsidR="009354C5" w:rsidRDefault="00875907">
      <w:pPr>
        <w:pStyle w:val="32"/>
        <w:spacing w:after="0"/>
        <w:ind w:firstLine="0"/>
      </w:pPr>
      <w:r>
        <w:rPr>
          <w:sz w:val="28"/>
          <w:szCs w:val="28"/>
        </w:rPr>
        <w:t xml:space="preserve">Руководитель занятия _______________________     __________________     </w:t>
      </w:r>
    </w:p>
    <w:p w14:paraId="1295422F" w14:textId="77777777" w:rsidR="009354C5" w:rsidRDefault="00875907">
      <w:pPr>
        <w:pStyle w:val="32"/>
        <w:spacing w:after="0"/>
        <w:ind w:firstLine="0"/>
      </w:pPr>
      <w:r>
        <w:t xml:space="preserve">                      (Ф.И.О.)                         (дата, </w:t>
      </w:r>
      <w:proofErr w:type="gramStart"/>
      <w:r>
        <w:t>подпись )</w:t>
      </w:r>
      <w:proofErr w:type="gramEnd"/>
      <w:r>
        <w:t xml:space="preserve">     </w:t>
      </w:r>
    </w:p>
    <w:p w14:paraId="0318B389" w14:textId="77777777" w:rsidR="009354C5" w:rsidRDefault="00875907">
      <w:pPr>
        <w:ind w:firstLine="0"/>
      </w:pPr>
      <w:r>
        <w:t>«__</w:t>
      </w:r>
      <w:proofErr w:type="gramStart"/>
      <w:r>
        <w:t>_»_</w:t>
      </w:r>
      <w:proofErr w:type="gramEnd"/>
      <w:r>
        <w:t>___________20___г.</w:t>
      </w:r>
    </w:p>
    <w:sectPr w:rsidR="009354C5">
      <w:headerReference w:type="default" r:id="rId8"/>
      <w:footerReference w:type="default" r:id="rId9"/>
      <w:pgSz w:w="11906" w:h="16838"/>
      <w:pgMar w:top="851" w:right="567" w:bottom="1134" w:left="1134" w:header="426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9D53D" w14:textId="77777777" w:rsidR="00000000" w:rsidRDefault="00875907">
      <w:r>
        <w:separator/>
      </w:r>
    </w:p>
  </w:endnote>
  <w:endnote w:type="continuationSeparator" w:id="0">
    <w:p w14:paraId="65389838" w14:textId="77777777" w:rsidR="00000000" w:rsidRDefault="0087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90F97" w14:textId="77777777" w:rsidR="009354C5" w:rsidRDefault="009354C5">
    <w:pPr>
      <w:pStyle w:val="af6"/>
    </w:pPr>
  </w:p>
  <w:p w14:paraId="0577DA71" w14:textId="77777777" w:rsidR="009354C5" w:rsidRDefault="00875907">
    <w:pPr>
      <w:jc w:val="right"/>
      <w:rPr>
        <w:i/>
        <w:sz w:val="20"/>
        <w:szCs w:val="20"/>
      </w:rPr>
    </w:pPr>
    <w:r>
      <w:rPr>
        <w:i/>
        <w:sz w:val="20"/>
        <w:szCs w:val="20"/>
      </w:rPr>
      <w:t>ЧООООО «ВДПО»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C338F" w14:textId="77777777" w:rsidR="00000000" w:rsidRDefault="00875907">
      <w:r>
        <w:separator/>
      </w:r>
    </w:p>
  </w:footnote>
  <w:footnote w:type="continuationSeparator" w:id="0">
    <w:p w14:paraId="111517C6" w14:textId="77777777" w:rsidR="00000000" w:rsidRDefault="00875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E1F63" w14:textId="77777777" w:rsidR="009354C5" w:rsidRDefault="00875907">
    <w:pPr>
      <w:pStyle w:val="af4"/>
      <w:ind w:firstLine="0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4C5"/>
    <w:rsid w:val="00875907"/>
    <w:rsid w:val="0093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C52F"/>
  <w15:docId w15:val="{343B6386-94AF-42E7-9F0A-5C14B397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4ECB"/>
    <w:pPr>
      <w:ind w:firstLine="709"/>
    </w:pPr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next w:val="a"/>
    <w:semiHidden/>
    <w:unhideWhenUsed/>
    <w:qFormat/>
    <w:locked/>
    <w:rsid w:val="000E69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E69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9"/>
    <w:qFormat/>
    <w:locked/>
    <w:rsid w:val="00413285"/>
    <w:pPr>
      <w:keepNext/>
      <w:ind w:firstLine="0"/>
      <w:jc w:val="center"/>
      <w:outlineLvl w:val="6"/>
    </w:pPr>
    <w:rPr>
      <w:rFonts w:eastAsia="Calibri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uiPriority w:val="9"/>
    <w:semiHidden/>
    <w:qFormat/>
    <w:rsid w:val="00C9646B"/>
    <w:rPr>
      <w:rFonts w:asciiTheme="minorHAnsi" w:eastAsiaTheme="minorEastAsia" w:hAnsiTheme="minorHAnsi" w:cstheme="minorBidi"/>
      <w:sz w:val="24"/>
      <w:szCs w:val="24"/>
    </w:rPr>
  </w:style>
  <w:style w:type="character" w:customStyle="1" w:styleId="a3">
    <w:name w:val="Название Знак"/>
    <w:basedOn w:val="a0"/>
    <w:uiPriority w:val="99"/>
    <w:qFormat/>
    <w:locked/>
    <w:rsid w:val="00574EC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574ECB"/>
  </w:style>
  <w:style w:type="character" w:customStyle="1" w:styleId="-">
    <w:name w:val="Интернет-ссылка"/>
    <w:basedOn w:val="a0"/>
    <w:uiPriority w:val="99"/>
    <w:semiHidden/>
    <w:rsid w:val="00574ECB"/>
    <w:rPr>
      <w:color w:val="0000FF"/>
      <w:u w:val="single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9200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uiPriority w:val="99"/>
    <w:semiHidden/>
    <w:qFormat/>
    <w:locked/>
    <w:rsid w:val="00BC3585"/>
    <w:rPr>
      <w:rFonts w:ascii="Times New Roman" w:hAnsi="Times New Roman" w:cs="Times New Roman"/>
      <w:sz w:val="28"/>
      <w:szCs w:val="28"/>
    </w:rPr>
  </w:style>
  <w:style w:type="character" w:styleId="a6">
    <w:name w:val="page number"/>
    <w:basedOn w:val="a0"/>
    <w:uiPriority w:val="99"/>
    <w:qFormat/>
    <w:rsid w:val="001728E8"/>
  </w:style>
  <w:style w:type="character" w:customStyle="1" w:styleId="70">
    <w:name w:val="Заголовок 7 Знак"/>
    <w:link w:val="7"/>
    <w:uiPriority w:val="99"/>
    <w:qFormat/>
    <w:locked/>
    <w:rsid w:val="00413285"/>
    <w:rPr>
      <w:b/>
      <w:bCs/>
      <w:i/>
      <w:iCs/>
      <w:sz w:val="24"/>
      <w:szCs w:val="24"/>
    </w:rPr>
  </w:style>
  <w:style w:type="character" w:customStyle="1" w:styleId="30">
    <w:name w:val="Основной текст 3 Знак"/>
    <w:basedOn w:val="a0"/>
    <w:link w:val="30"/>
    <w:uiPriority w:val="99"/>
    <w:semiHidden/>
    <w:qFormat/>
    <w:rsid w:val="00212CFB"/>
    <w:rPr>
      <w:rFonts w:ascii="Times New Roman" w:eastAsia="Times New Roman" w:hAnsi="Times New Roman"/>
      <w:sz w:val="16"/>
      <w:szCs w:val="16"/>
    </w:rPr>
  </w:style>
  <w:style w:type="character" w:customStyle="1" w:styleId="2">
    <w:name w:val="Основной текст (2)_"/>
    <w:link w:val="20"/>
    <w:qFormat/>
    <w:locked/>
    <w:rsid w:val="00212CF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7">
    <w:name w:val="Подпись к таблице_"/>
    <w:qFormat/>
    <w:locked/>
    <w:rsid w:val="00212CF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qFormat/>
    <w:rsid w:val="00212CF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character" w:customStyle="1" w:styleId="212pt0">
    <w:name w:val="Основной текст (2) + 12 pt;Полужирный"/>
    <w:qFormat/>
    <w:rsid w:val="00212CF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8">
    <w:name w:val="Нижний колонтитул Знак"/>
    <w:basedOn w:val="a0"/>
    <w:uiPriority w:val="99"/>
    <w:qFormat/>
    <w:rsid w:val="00212CFB"/>
    <w:rPr>
      <w:rFonts w:ascii="Times New Roman" w:eastAsia="Times New Roman" w:hAnsi="Times New Roman"/>
      <w:sz w:val="28"/>
      <w:szCs w:val="28"/>
    </w:rPr>
  </w:style>
  <w:style w:type="character" w:customStyle="1" w:styleId="16135pt">
    <w:name w:val="Основной текст (16) + 13;5 pt;Полужирный"/>
    <w:qFormat/>
    <w:rsid w:val="00F14E77"/>
    <w:rPr>
      <w:b/>
      <w:bCs/>
      <w:sz w:val="27"/>
      <w:szCs w:val="27"/>
      <w:shd w:val="clear" w:color="auto" w:fill="FFFFFF"/>
    </w:rPr>
  </w:style>
  <w:style w:type="character" w:customStyle="1" w:styleId="31">
    <w:name w:val="Основной текст 3 Знак1"/>
    <w:basedOn w:val="a0"/>
    <w:link w:val="32"/>
    <w:semiHidden/>
    <w:qFormat/>
    <w:rsid w:val="000E69D6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0E69D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9">
    <w:name w:val="Символ нумерации"/>
    <w:qFormat/>
  </w:style>
  <w:style w:type="paragraph" w:styleId="aa">
    <w:name w:val="Title"/>
    <w:basedOn w:val="a"/>
    <w:next w:val="ab"/>
    <w:uiPriority w:val="99"/>
    <w:qFormat/>
    <w:rsid w:val="00574ECB"/>
    <w:pPr>
      <w:ind w:firstLine="0"/>
      <w:jc w:val="center"/>
    </w:pPr>
    <w:rPr>
      <w:b/>
      <w:bCs/>
      <w:sz w:val="24"/>
      <w:szCs w:val="24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No Spacing"/>
    <w:uiPriority w:val="1"/>
    <w:qFormat/>
    <w:rsid w:val="00737380"/>
    <w:pPr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s1">
    <w:name w:val="s_1"/>
    <w:basedOn w:val="a"/>
    <w:uiPriority w:val="99"/>
    <w:qFormat/>
    <w:rsid w:val="002F0AB9"/>
    <w:pPr>
      <w:spacing w:beforeAutospacing="1" w:afterAutospacing="1"/>
      <w:ind w:firstLine="0"/>
    </w:pPr>
    <w:rPr>
      <w:sz w:val="24"/>
      <w:szCs w:val="24"/>
    </w:rPr>
  </w:style>
  <w:style w:type="paragraph" w:customStyle="1" w:styleId="s3">
    <w:name w:val="s_3"/>
    <w:basedOn w:val="a"/>
    <w:uiPriority w:val="99"/>
    <w:qFormat/>
    <w:rsid w:val="009F7D3F"/>
    <w:pPr>
      <w:spacing w:beforeAutospacing="1" w:afterAutospacing="1"/>
      <w:ind w:firstLine="0"/>
    </w:pPr>
    <w:rPr>
      <w:sz w:val="24"/>
      <w:szCs w:val="24"/>
    </w:rPr>
  </w:style>
  <w:style w:type="paragraph" w:customStyle="1" w:styleId="s16">
    <w:name w:val="s_16"/>
    <w:basedOn w:val="a"/>
    <w:uiPriority w:val="99"/>
    <w:qFormat/>
    <w:rsid w:val="009F7D3F"/>
    <w:pPr>
      <w:spacing w:beforeAutospacing="1" w:afterAutospacing="1"/>
      <w:ind w:firstLine="0"/>
    </w:pPr>
    <w:rPr>
      <w:sz w:val="24"/>
      <w:szCs w:val="24"/>
    </w:rPr>
  </w:style>
  <w:style w:type="paragraph" w:styleId="af0">
    <w:name w:val="Block Text"/>
    <w:basedOn w:val="a"/>
    <w:uiPriority w:val="99"/>
    <w:qFormat/>
    <w:rsid w:val="00920033"/>
    <w:pPr>
      <w:ind w:left="567" w:right="-654" w:firstLine="0"/>
    </w:pPr>
    <w:rPr>
      <w:sz w:val="24"/>
      <w:szCs w:val="24"/>
    </w:rPr>
  </w:style>
  <w:style w:type="paragraph" w:styleId="af1">
    <w:name w:val="Body Text Indent"/>
    <w:basedOn w:val="a"/>
    <w:uiPriority w:val="99"/>
    <w:rsid w:val="00920033"/>
    <w:pPr>
      <w:ind w:right="24" w:firstLine="660"/>
      <w:jc w:val="both"/>
    </w:pPr>
  </w:style>
  <w:style w:type="paragraph" w:styleId="af2">
    <w:name w:val="List Paragraph"/>
    <w:basedOn w:val="a"/>
    <w:uiPriority w:val="34"/>
    <w:qFormat/>
    <w:rsid w:val="00920033"/>
    <w:pPr>
      <w:ind w:left="720"/>
    </w:p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rsid w:val="001728E8"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uiPriority w:val="99"/>
    <w:semiHidden/>
    <w:unhideWhenUsed/>
    <w:qFormat/>
    <w:rsid w:val="00212CFB"/>
    <w:pPr>
      <w:spacing w:after="120"/>
    </w:pPr>
    <w:rPr>
      <w:sz w:val="16"/>
      <w:szCs w:val="16"/>
    </w:rPr>
  </w:style>
  <w:style w:type="paragraph" w:customStyle="1" w:styleId="20">
    <w:name w:val="Основной текст (2)"/>
    <w:basedOn w:val="a"/>
    <w:link w:val="2"/>
    <w:qFormat/>
    <w:rsid w:val="00212CFB"/>
    <w:pPr>
      <w:widowControl w:val="0"/>
      <w:shd w:val="clear" w:color="auto" w:fill="FFFFFF"/>
      <w:spacing w:after="360" w:line="307" w:lineRule="exact"/>
      <w:ind w:firstLine="0"/>
    </w:pPr>
  </w:style>
  <w:style w:type="paragraph" w:customStyle="1" w:styleId="af5">
    <w:name w:val="Подпись к таблице"/>
    <w:basedOn w:val="a"/>
    <w:qFormat/>
    <w:rsid w:val="00212CFB"/>
    <w:pPr>
      <w:widowControl w:val="0"/>
      <w:shd w:val="clear" w:color="auto" w:fill="FFFFFF"/>
      <w:ind w:firstLine="0"/>
    </w:pPr>
  </w:style>
  <w:style w:type="paragraph" w:styleId="af6">
    <w:name w:val="footer"/>
    <w:basedOn w:val="a"/>
    <w:uiPriority w:val="99"/>
    <w:unhideWhenUsed/>
    <w:rsid w:val="00212CFB"/>
    <w:pPr>
      <w:tabs>
        <w:tab w:val="center" w:pos="4677"/>
        <w:tab w:val="right" w:pos="9355"/>
      </w:tabs>
    </w:pPr>
  </w:style>
  <w:style w:type="paragraph" w:styleId="af7">
    <w:name w:val="Normal (Web)"/>
    <w:basedOn w:val="a"/>
    <w:uiPriority w:val="99"/>
    <w:semiHidden/>
    <w:unhideWhenUsed/>
    <w:qFormat/>
    <w:rsid w:val="000E69D6"/>
    <w:pPr>
      <w:spacing w:beforeAutospacing="1" w:afterAutospacing="1"/>
      <w:ind w:firstLine="0"/>
    </w:pPr>
    <w:rPr>
      <w:sz w:val="24"/>
      <w:szCs w:val="24"/>
    </w:rPr>
  </w:style>
  <w:style w:type="paragraph" w:customStyle="1" w:styleId="ConsPlusNormal">
    <w:name w:val="ConsPlusNormal"/>
    <w:qFormat/>
    <w:rsid w:val="006D7459"/>
    <w:pPr>
      <w:widowControl w:val="0"/>
    </w:pPr>
    <w:rPr>
      <w:rFonts w:ascii="Arial" w:eastAsia="Times New Roman" w:hAnsi="Arial" w:cs="Arial"/>
      <w:szCs w:val="20"/>
    </w:rPr>
  </w:style>
  <w:style w:type="paragraph" w:customStyle="1" w:styleId="af8">
    <w:name w:val="Содержимое врезки"/>
    <w:basedOn w:val="a"/>
    <w:qFormat/>
  </w:style>
  <w:style w:type="numbering" w:customStyle="1" w:styleId="123">
    <w:name w:val="Нумерованный 123"/>
    <w:qFormat/>
  </w:style>
  <w:style w:type="paragraph" w:styleId="af9">
    <w:name w:val="Balloon Text"/>
    <w:basedOn w:val="a"/>
    <w:link w:val="afa"/>
    <w:uiPriority w:val="99"/>
    <w:semiHidden/>
    <w:unhideWhenUsed/>
    <w:rsid w:val="00875907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87590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8109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C541-F981-4892-B12A-922AFA49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5</Pages>
  <Words>1417</Words>
  <Characters>8078</Characters>
  <Application>Microsoft Office Word</Application>
  <DocSecurity>0</DocSecurity>
  <Lines>67</Lines>
  <Paragraphs>18</Paragraphs>
  <ScaleCrop>false</ScaleCrop>
  <Company>Grizli777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dc:description/>
  <cp:lastModifiedBy>masha</cp:lastModifiedBy>
  <cp:revision>65</cp:revision>
  <cp:lastPrinted>2023-05-02T09:33:00Z</cp:lastPrinted>
  <dcterms:created xsi:type="dcterms:W3CDTF">2018-08-16T10:18:00Z</dcterms:created>
  <dcterms:modified xsi:type="dcterms:W3CDTF">2023-05-02T09:33:00Z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